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82" w:rsidRDefault="002A4682" w:rsidP="002F4678">
      <w:pPr>
        <w:jc w:val="both"/>
        <w:rPr>
          <w:rFonts w:cs="Arial"/>
          <w:b/>
        </w:rPr>
      </w:pPr>
    </w:p>
    <w:p w:rsidR="002A4682" w:rsidRDefault="002A4682" w:rsidP="002F4678">
      <w:pPr>
        <w:jc w:val="both"/>
        <w:rPr>
          <w:rFonts w:cs="Arial"/>
          <w:b/>
        </w:rPr>
      </w:pPr>
    </w:p>
    <w:p w:rsidR="002A4682" w:rsidRDefault="002A4682" w:rsidP="002F4678">
      <w:pPr>
        <w:jc w:val="both"/>
        <w:rPr>
          <w:rFonts w:cs="Arial"/>
          <w:b/>
        </w:rPr>
      </w:pPr>
    </w:p>
    <w:p w:rsidR="002A4682" w:rsidRDefault="002A4682" w:rsidP="002F4678">
      <w:pPr>
        <w:jc w:val="both"/>
        <w:rPr>
          <w:rFonts w:cs="Arial"/>
          <w:b/>
        </w:rPr>
      </w:pPr>
    </w:p>
    <w:p w:rsidR="002A4682" w:rsidRDefault="002A4682" w:rsidP="002F4678">
      <w:pPr>
        <w:jc w:val="both"/>
        <w:rPr>
          <w:rFonts w:cs="Arial"/>
          <w:b/>
        </w:rPr>
      </w:pPr>
    </w:p>
    <w:p w:rsidR="002A4682" w:rsidRDefault="002A4682" w:rsidP="002A4682">
      <w:pPr>
        <w:rPr>
          <w:rFonts w:cs="Arial"/>
          <w:b/>
        </w:rPr>
      </w:pPr>
    </w:p>
    <w:p w:rsidR="002A4682" w:rsidRDefault="002A4682" w:rsidP="002A4682">
      <w:r>
        <w:rPr>
          <w:rFonts w:ascii="Courier New" w:hAnsi="Courier New"/>
          <w:color w:val="000000"/>
        </w:rPr>
        <w:fldChar w:fldCharType="begin"/>
      </w:r>
      <w:r>
        <w:rPr>
          <w:rFonts w:ascii="Courier New" w:hAnsi="Courier New"/>
          <w:color w:val="000000"/>
        </w:rPr>
        <w:instrText xml:space="preserve"> INCLUDEPICTURE "http://mail.embc.org.uk/Xae289b929dc999cc9c99a0972d28/attach/Main/1/2/1118049817/John Clifford Logo 2005 Small.jpg" \* MERGEFORMATINET </w:instrText>
      </w:r>
      <w:r>
        <w:rPr>
          <w:rFonts w:ascii="Courier New" w:hAnsi="Courier New"/>
          <w:color w:val="000000"/>
        </w:rPr>
        <w:fldChar w:fldCharType="separate"/>
      </w:r>
      <w:r w:rsidR="000D0AE4">
        <w:rPr>
          <w:rFonts w:ascii="Courier New" w:hAnsi="Courier New"/>
          <w:color w:val="000000"/>
        </w:rPr>
        <w:fldChar w:fldCharType="begin"/>
      </w:r>
      <w:r w:rsidR="000D0AE4">
        <w:rPr>
          <w:rFonts w:ascii="Courier New" w:hAnsi="Courier New"/>
          <w:color w:val="000000"/>
        </w:rPr>
        <w:instrText xml:space="preserve"> INCLUDEPICTURE  "http://mail.embc.org.uk/Xae289b929dc999cc9c99a0972d28/attach/Main/1/2/1118049817/John Clifford Logo 2005 Small.jpg" \* MERGEFORMATINET </w:instrText>
      </w:r>
      <w:r w:rsidR="000D0AE4">
        <w:rPr>
          <w:rFonts w:ascii="Courier New" w:hAnsi="Courier New"/>
          <w:color w:val="000000"/>
        </w:rPr>
        <w:fldChar w:fldCharType="separate"/>
      </w:r>
      <w:r w:rsidR="005358C6">
        <w:rPr>
          <w:rFonts w:ascii="Courier New" w:hAnsi="Courier New"/>
          <w:color w:val="000000"/>
        </w:rPr>
        <w:fldChar w:fldCharType="begin"/>
      </w:r>
      <w:r w:rsidR="005358C6">
        <w:rPr>
          <w:rFonts w:ascii="Courier New" w:hAnsi="Courier New"/>
          <w:color w:val="000000"/>
        </w:rPr>
        <w:instrText xml:space="preserve"> INCLUDEPICTURE  "http://mail.embc.org.uk/Xae289b929dc999cc9c99a0972d28/attach/Main/1/2/1118049817/John Clifford Logo 2005 Small.jpg" \* MERGEFORMATINET </w:instrText>
      </w:r>
      <w:r w:rsidR="005358C6">
        <w:rPr>
          <w:rFonts w:ascii="Courier New" w:hAnsi="Courier New"/>
          <w:color w:val="000000"/>
        </w:rPr>
        <w:fldChar w:fldCharType="separate"/>
      </w:r>
      <w:r w:rsidR="00333007">
        <w:rPr>
          <w:rFonts w:ascii="Courier New" w:hAnsi="Courier New"/>
          <w:color w:val="000000"/>
        </w:rPr>
        <w:fldChar w:fldCharType="begin"/>
      </w:r>
      <w:r w:rsidR="00333007">
        <w:rPr>
          <w:rFonts w:ascii="Courier New" w:hAnsi="Courier New"/>
          <w:color w:val="000000"/>
        </w:rPr>
        <w:instrText xml:space="preserve"> INCLUDEPICTURE  "http://mail.embc.org.uk/Xae289b929dc999cc9c99a0972d28/attach/Main/1/2/1118049817/John Clifford Logo 2005 Small.jpg" \* MERGEFORMATINET </w:instrText>
      </w:r>
      <w:r w:rsidR="00333007">
        <w:rPr>
          <w:rFonts w:ascii="Courier New" w:hAnsi="Courier New"/>
          <w:color w:val="000000"/>
        </w:rPr>
        <w:fldChar w:fldCharType="separate"/>
      </w:r>
      <w:r w:rsidR="00F23BCB">
        <w:rPr>
          <w:rFonts w:ascii="Courier New" w:hAnsi="Courier New"/>
          <w:color w:val="000000"/>
        </w:rPr>
        <w:fldChar w:fldCharType="begin"/>
      </w:r>
      <w:r w:rsidR="00F23BCB">
        <w:rPr>
          <w:rFonts w:ascii="Courier New" w:hAnsi="Courier New"/>
          <w:color w:val="000000"/>
        </w:rPr>
        <w:instrText xml:space="preserve"> INCLUDEPICTURE  "http://mail.embc.org.uk/Xae289b929dc999cc9c99a0972d28/attach/Main/1/2/1118049817/John Clifford Logo 2005 Small.jpg" \* MERGEFORMATINET </w:instrText>
      </w:r>
      <w:r w:rsidR="00F23BCB">
        <w:rPr>
          <w:rFonts w:ascii="Courier New" w:hAnsi="Courier New"/>
          <w:color w:val="000000"/>
        </w:rPr>
        <w:fldChar w:fldCharType="separate"/>
      </w:r>
      <w:r w:rsidR="00394CD3">
        <w:rPr>
          <w:rFonts w:ascii="Courier New" w:hAnsi="Courier New"/>
          <w:color w:val="000000"/>
        </w:rPr>
        <w:fldChar w:fldCharType="begin"/>
      </w:r>
      <w:r w:rsidR="00394CD3">
        <w:rPr>
          <w:rFonts w:ascii="Courier New" w:hAnsi="Courier New"/>
          <w:color w:val="000000"/>
        </w:rPr>
        <w:instrText xml:space="preserve"> </w:instrText>
      </w:r>
      <w:r w:rsidR="00394CD3">
        <w:rPr>
          <w:rFonts w:ascii="Courier New" w:hAnsi="Courier New"/>
          <w:color w:val="000000"/>
        </w:rPr>
        <w:instrText>INCLUDEPICTURE  "http://mail.embc.org.uk/Xae289b929dc999cc9c99a0972d28/attach/Main/1/2/1118049817/John Clifford Logo 2005 Small.jpg" \* MERGEFORMATINET</w:instrText>
      </w:r>
      <w:r w:rsidR="00394CD3">
        <w:rPr>
          <w:rFonts w:ascii="Courier New" w:hAnsi="Courier New"/>
          <w:color w:val="000000"/>
        </w:rPr>
        <w:instrText xml:space="preserve"> </w:instrText>
      </w:r>
      <w:r w:rsidR="00394CD3">
        <w:rPr>
          <w:rFonts w:ascii="Courier New" w:hAnsi="Courier New"/>
          <w:color w:val="000000"/>
        </w:rPr>
        <w:fldChar w:fldCharType="separate"/>
      </w:r>
      <w:r w:rsidR="00394CD3">
        <w:rPr>
          <w:rFonts w:ascii="Courier New" w:hAnsi="Courier New"/>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357pt">
            <v:imagedata r:id="rId4" r:href="rId5"/>
          </v:shape>
        </w:pict>
      </w:r>
      <w:r w:rsidR="00394CD3">
        <w:rPr>
          <w:rFonts w:ascii="Courier New" w:hAnsi="Courier New"/>
          <w:color w:val="000000"/>
        </w:rPr>
        <w:fldChar w:fldCharType="end"/>
      </w:r>
      <w:r w:rsidR="00F23BCB">
        <w:rPr>
          <w:rFonts w:ascii="Courier New" w:hAnsi="Courier New"/>
          <w:color w:val="000000"/>
        </w:rPr>
        <w:fldChar w:fldCharType="end"/>
      </w:r>
      <w:r w:rsidR="00333007">
        <w:rPr>
          <w:rFonts w:ascii="Courier New" w:hAnsi="Courier New"/>
          <w:color w:val="000000"/>
        </w:rPr>
        <w:fldChar w:fldCharType="end"/>
      </w:r>
      <w:r w:rsidR="005358C6">
        <w:rPr>
          <w:rFonts w:ascii="Courier New" w:hAnsi="Courier New"/>
          <w:color w:val="000000"/>
        </w:rPr>
        <w:fldChar w:fldCharType="end"/>
      </w:r>
      <w:r w:rsidR="000D0AE4">
        <w:rPr>
          <w:rFonts w:ascii="Courier New" w:hAnsi="Courier New"/>
          <w:color w:val="000000"/>
        </w:rPr>
        <w:fldChar w:fldCharType="end"/>
      </w:r>
      <w:r>
        <w:rPr>
          <w:rFonts w:ascii="Courier New" w:hAnsi="Courier New"/>
          <w:color w:val="000000"/>
        </w:rPr>
        <w:fldChar w:fldCharType="end"/>
      </w:r>
    </w:p>
    <w:p w:rsidR="002A4682" w:rsidRDefault="002A4682" w:rsidP="002F4678">
      <w:pPr>
        <w:jc w:val="both"/>
        <w:rPr>
          <w:rFonts w:cs="Arial"/>
          <w:b/>
        </w:rPr>
      </w:pPr>
      <w:r>
        <w:rPr>
          <w:rFonts w:cs="Arial"/>
          <w:b/>
          <w:noProof/>
        </w:rPr>
        <mc:AlternateContent>
          <mc:Choice Requires="wps">
            <w:drawing>
              <wp:anchor distT="0" distB="0" distL="114300" distR="114300" simplePos="0" relativeHeight="251658240" behindDoc="0" locked="0" layoutInCell="1" allowOverlap="1" wp14:anchorId="610DEC16" wp14:editId="6E26EAAC">
                <wp:simplePos x="0" y="0"/>
                <wp:positionH relativeFrom="column">
                  <wp:posOffset>1188720</wp:posOffset>
                </wp:positionH>
                <wp:positionV relativeFrom="paragraph">
                  <wp:posOffset>6649085</wp:posOffset>
                </wp:positionV>
                <wp:extent cx="5600700" cy="1028700"/>
                <wp:effectExtent l="7620" t="11430" r="1143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txbx>
                        <w:txbxContent>
                          <w:p w:rsidR="002A4682" w:rsidRDefault="002A4682" w:rsidP="002A4682">
                            <w:pPr>
                              <w:rPr>
                                <w:rFonts w:ascii="Comic Sans MS" w:hAnsi="Comic Sans MS"/>
                                <w:sz w:val="48"/>
                                <w:szCs w:val="48"/>
                              </w:rPr>
                            </w:pPr>
                            <w:r>
                              <w:rPr>
                                <w:rFonts w:ascii="Comic Sans MS" w:hAnsi="Comic Sans MS"/>
                                <w:sz w:val="48"/>
                                <w:szCs w:val="48"/>
                              </w:rPr>
                              <w:t>GOVERNORS’ ALLOWANCE POLICY</w:t>
                            </w:r>
                          </w:p>
                          <w:p w:rsidR="002A4682" w:rsidRPr="00DC4255" w:rsidRDefault="002A4682" w:rsidP="002A4682">
                            <w:pPr>
                              <w:rPr>
                                <w:rFonts w:ascii="Comic Sans MS" w:hAnsi="Comic Sans MS"/>
                                <w:sz w:val="48"/>
                                <w:szCs w:val="48"/>
                              </w:rPr>
                            </w:pPr>
                            <w:r>
                              <w:rPr>
                                <w:rFonts w:ascii="Comic Sans MS" w:hAnsi="Comic Sans MS"/>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DEC16" id="_x0000_t202" coordsize="21600,21600" o:spt="202" path="m,l,21600r21600,l21600,xe">
                <v:stroke joinstyle="miter"/>
                <v:path gradientshapeok="t" o:connecttype="rect"/>
              </v:shapetype>
              <v:shape id="Text Box 1" o:spid="_x0000_s1026" type="#_x0000_t202" style="position:absolute;left:0;text-align:left;margin-left:93.6pt;margin-top:523.55pt;width:441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">
                <v:textbox>
                  <w:txbxContent>
                    <w:p w:rsidR="002A4682" w:rsidRDefault="002A4682" w:rsidP="002A4682">
                      <w:pPr>
                        <w:rPr>
                          <w:rFonts w:ascii="Comic Sans MS" w:hAnsi="Comic Sans MS"/>
                          <w:sz w:val="48"/>
                          <w:szCs w:val="48"/>
                        </w:rPr>
                      </w:pPr>
                      <w:r>
                        <w:rPr>
                          <w:rFonts w:ascii="Comic Sans MS" w:hAnsi="Comic Sans MS"/>
                          <w:sz w:val="48"/>
                          <w:szCs w:val="48"/>
                        </w:rPr>
                        <w:t>GOVERNORS’ ALLOWANCE POLICY</w:t>
                      </w:r>
                    </w:p>
                    <w:p w:rsidR="002A4682" w:rsidRPr="00DC4255" w:rsidRDefault="002A4682" w:rsidP="002A4682">
                      <w:pPr>
                        <w:rPr>
                          <w:rFonts w:ascii="Comic Sans MS" w:hAnsi="Comic Sans MS"/>
                          <w:sz w:val="48"/>
                          <w:szCs w:val="48"/>
                        </w:rPr>
                      </w:pPr>
                      <w:r>
                        <w:rPr>
                          <w:rFonts w:ascii="Comic Sans MS" w:hAnsi="Comic Sans MS"/>
                          <w:sz w:val="48"/>
                          <w:szCs w:val="48"/>
                        </w:rPr>
                        <w:t xml:space="preserve">                       </w:t>
                      </w:r>
                    </w:p>
                  </w:txbxContent>
                </v:textbox>
              </v:shape>
            </w:pict>
          </mc:Fallback>
        </mc:AlternateContent>
      </w:r>
      <w:r>
        <w:rPr>
          <w:rFonts w:cs="Arial"/>
          <w:b/>
          <w:noProof/>
        </w:rPr>
        <mc:AlternateContent>
          <mc:Choice Requires="wps">
            <w:drawing>
              <wp:anchor distT="0" distB="0" distL="114300" distR="114300" simplePos="0" relativeHeight="251659264" behindDoc="0" locked="0" layoutInCell="1" allowOverlap="1" wp14:anchorId="526035F8" wp14:editId="50035B56">
                <wp:simplePos x="0" y="0"/>
                <wp:positionH relativeFrom="column">
                  <wp:posOffset>140970</wp:posOffset>
                </wp:positionH>
                <wp:positionV relativeFrom="paragraph">
                  <wp:posOffset>162560</wp:posOffset>
                </wp:positionV>
                <wp:extent cx="5600700" cy="1028700"/>
                <wp:effectExtent l="7620" t="1143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rgbClr val="FFFFFF"/>
                        </a:solidFill>
                        <a:ln w="9525">
                          <a:solidFill>
                            <a:srgbClr val="000000"/>
                          </a:solidFill>
                          <a:miter lim="800000"/>
                          <a:headEnd/>
                          <a:tailEnd/>
                        </a:ln>
                      </wps:spPr>
                      <wps:txbx>
                        <w:txbxContent>
                          <w:p w:rsidR="002A4682" w:rsidRDefault="002A4682" w:rsidP="002A4682">
                            <w:pPr>
                              <w:rPr>
                                <w:rFonts w:ascii="Comic Sans MS" w:hAnsi="Comic Sans MS"/>
                                <w:sz w:val="48"/>
                                <w:szCs w:val="48"/>
                              </w:rPr>
                            </w:pPr>
                            <w:r>
                              <w:rPr>
                                <w:rFonts w:ascii="Comic Sans MS" w:hAnsi="Comic Sans MS"/>
                                <w:sz w:val="48"/>
                                <w:szCs w:val="48"/>
                              </w:rPr>
                              <w:t>GOVERNORS’ ALLOWANCE POLICY</w:t>
                            </w:r>
                          </w:p>
                          <w:p w:rsidR="002A4682" w:rsidRPr="00DC4255" w:rsidRDefault="002A4682" w:rsidP="002A4682">
                            <w:pPr>
                              <w:rPr>
                                <w:rFonts w:ascii="Comic Sans MS" w:hAnsi="Comic Sans MS"/>
                                <w:sz w:val="48"/>
                                <w:szCs w:val="48"/>
                              </w:rPr>
                            </w:pPr>
                            <w:r>
                              <w:rPr>
                                <w:rFonts w:ascii="Comic Sans MS" w:hAnsi="Comic Sans MS"/>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035F8" id="Text Box 2" o:spid="_x0000_s1027" type="#_x0000_t202" style="position:absolute;left:0;text-align:left;margin-left:11.1pt;margin-top:12.8pt;width:44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AjKgIAAFg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">
                <v:textbox>
                  <w:txbxContent>
                    <w:p w:rsidR="002A4682" w:rsidRDefault="002A4682" w:rsidP="002A4682">
                      <w:pPr>
                        <w:rPr>
                          <w:rFonts w:ascii="Comic Sans MS" w:hAnsi="Comic Sans MS"/>
                          <w:sz w:val="48"/>
                          <w:szCs w:val="48"/>
                        </w:rPr>
                      </w:pPr>
                      <w:r>
                        <w:rPr>
                          <w:rFonts w:ascii="Comic Sans MS" w:hAnsi="Comic Sans MS"/>
                          <w:sz w:val="48"/>
                          <w:szCs w:val="48"/>
                        </w:rPr>
                        <w:t>GOVERNORS’ ALLOWANCE POLICY</w:t>
                      </w:r>
                    </w:p>
                    <w:p w:rsidR="002A4682" w:rsidRPr="00DC4255" w:rsidRDefault="002A4682" w:rsidP="002A4682">
                      <w:pPr>
                        <w:rPr>
                          <w:rFonts w:ascii="Comic Sans MS" w:hAnsi="Comic Sans MS"/>
                          <w:sz w:val="48"/>
                          <w:szCs w:val="48"/>
                        </w:rPr>
                      </w:pPr>
                      <w:r>
                        <w:rPr>
                          <w:rFonts w:ascii="Comic Sans MS" w:hAnsi="Comic Sans MS"/>
                          <w:sz w:val="48"/>
                          <w:szCs w:val="48"/>
                        </w:rPr>
                        <w:t xml:space="preserve">                       </w:t>
                      </w:r>
                    </w:p>
                  </w:txbxContent>
                </v:textbox>
              </v:shape>
            </w:pict>
          </mc:Fallback>
        </mc:AlternateContent>
      </w:r>
    </w:p>
    <w:p w:rsidR="002A4682" w:rsidRDefault="002A4682" w:rsidP="002F4678">
      <w:pPr>
        <w:jc w:val="both"/>
        <w:rPr>
          <w:rFonts w:cs="Arial"/>
          <w:b/>
        </w:rPr>
      </w:pPr>
    </w:p>
    <w:p w:rsidR="002A4682" w:rsidRDefault="002A4682" w:rsidP="002F4678">
      <w:pPr>
        <w:jc w:val="both"/>
        <w:rPr>
          <w:rFonts w:cs="Arial"/>
          <w:b/>
        </w:rPr>
      </w:pPr>
    </w:p>
    <w:p w:rsidR="002A4682" w:rsidRDefault="002A4682" w:rsidP="002F4678">
      <w:pPr>
        <w:jc w:val="both"/>
        <w:rPr>
          <w:rFonts w:cs="Arial"/>
          <w:b/>
        </w:rPr>
      </w:pPr>
    </w:p>
    <w:p w:rsidR="002A4682" w:rsidRDefault="002A4682" w:rsidP="002F4678">
      <w:pPr>
        <w:jc w:val="both"/>
        <w:rPr>
          <w:rFonts w:cs="Arial"/>
          <w:b/>
        </w:rPr>
      </w:pPr>
    </w:p>
    <w:p w:rsidR="002A4682" w:rsidRDefault="002A4682" w:rsidP="002F4678">
      <w:pPr>
        <w:jc w:val="both"/>
        <w:rPr>
          <w:rFonts w:cs="Arial"/>
          <w:b/>
        </w:rPr>
      </w:pPr>
    </w:p>
    <w:p w:rsidR="002A4682" w:rsidRDefault="002A4682" w:rsidP="002F4678">
      <w:pPr>
        <w:jc w:val="both"/>
        <w:rPr>
          <w:rFonts w:cs="Arial"/>
          <w:b/>
        </w:rPr>
      </w:pPr>
    </w:p>
    <w:p w:rsidR="002A4682" w:rsidRDefault="002A4682" w:rsidP="002F4678">
      <w:pPr>
        <w:jc w:val="both"/>
        <w:rPr>
          <w:rFonts w:cs="Arial"/>
          <w:b/>
        </w:rPr>
      </w:pPr>
    </w:p>
    <w:p w:rsidR="002A4682" w:rsidRDefault="002A4682" w:rsidP="002F4678">
      <w:pPr>
        <w:jc w:val="both"/>
        <w:rPr>
          <w:rFonts w:cs="Arial"/>
          <w:b/>
        </w:rPr>
      </w:pPr>
    </w:p>
    <w:p w:rsidR="002A4682" w:rsidRDefault="002A4682" w:rsidP="002F4678">
      <w:pPr>
        <w:jc w:val="both"/>
        <w:rPr>
          <w:rFonts w:cs="Arial"/>
          <w:b/>
        </w:rPr>
      </w:pPr>
    </w:p>
    <w:p w:rsidR="002A4682" w:rsidRDefault="002A4682" w:rsidP="002F4678">
      <w:pPr>
        <w:jc w:val="both"/>
        <w:rPr>
          <w:rFonts w:cs="Arial"/>
          <w:b/>
        </w:rPr>
      </w:pPr>
    </w:p>
    <w:p w:rsidR="000D0AE4" w:rsidRDefault="000D0AE4" w:rsidP="002F4678">
      <w:pPr>
        <w:jc w:val="both"/>
        <w:rPr>
          <w:rFonts w:cs="Arial"/>
          <w:b/>
        </w:rPr>
      </w:pPr>
    </w:p>
    <w:p w:rsidR="000D0AE4" w:rsidRDefault="000D0AE4" w:rsidP="002F4678">
      <w:pPr>
        <w:jc w:val="both"/>
        <w:rPr>
          <w:rFonts w:cs="Arial"/>
          <w:b/>
        </w:rPr>
      </w:pPr>
    </w:p>
    <w:p w:rsidR="000D0AE4" w:rsidRDefault="000D0AE4" w:rsidP="002F4678">
      <w:pPr>
        <w:jc w:val="both"/>
        <w:rPr>
          <w:rFonts w:cs="Arial"/>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45"/>
        <w:gridCol w:w="2446"/>
        <w:gridCol w:w="2446"/>
      </w:tblGrid>
      <w:tr w:rsidR="000D0AE4" w:rsidTr="005358C6">
        <w:trPr>
          <w:cantSplit/>
        </w:trPr>
        <w:tc>
          <w:tcPr>
            <w:tcW w:w="2518" w:type="dxa"/>
            <w:tcBorders>
              <w:top w:val="single" w:sz="4" w:space="0" w:color="auto"/>
              <w:left w:val="single" w:sz="4" w:space="0" w:color="auto"/>
              <w:bottom w:val="single" w:sz="4" w:space="0" w:color="auto"/>
              <w:right w:val="single" w:sz="4" w:space="0" w:color="auto"/>
            </w:tcBorders>
            <w:hideMark/>
          </w:tcPr>
          <w:p w:rsidR="000D0AE4" w:rsidRDefault="000D0AE4">
            <w:pPr>
              <w:pStyle w:val="Heading2"/>
            </w:pPr>
            <w:r>
              <w:t xml:space="preserve">Date of review </w:t>
            </w:r>
          </w:p>
        </w:tc>
        <w:tc>
          <w:tcPr>
            <w:tcW w:w="2444" w:type="dxa"/>
            <w:tcBorders>
              <w:top w:val="single" w:sz="4" w:space="0" w:color="auto"/>
              <w:left w:val="single" w:sz="4" w:space="0" w:color="auto"/>
              <w:bottom w:val="single" w:sz="4" w:space="0" w:color="auto"/>
              <w:right w:val="single" w:sz="4" w:space="0" w:color="auto"/>
            </w:tcBorders>
            <w:vAlign w:val="center"/>
          </w:tcPr>
          <w:p w:rsidR="000D0AE4" w:rsidRDefault="00F23BCB" w:rsidP="00F23BCB">
            <w:pPr>
              <w:jc w:val="center"/>
              <w:rPr>
                <w:sz w:val="16"/>
              </w:rPr>
            </w:pPr>
            <w:r>
              <w:rPr>
                <w:sz w:val="16"/>
              </w:rPr>
              <w:t>Summer 2013</w:t>
            </w:r>
          </w:p>
        </w:tc>
        <w:tc>
          <w:tcPr>
            <w:tcW w:w="2445" w:type="dxa"/>
            <w:tcBorders>
              <w:top w:val="single" w:sz="4" w:space="0" w:color="auto"/>
              <w:left w:val="single" w:sz="4" w:space="0" w:color="auto"/>
              <w:bottom w:val="single" w:sz="4" w:space="0" w:color="auto"/>
              <w:right w:val="single" w:sz="4" w:space="0" w:color="auto"/>
            </w:tcBorders>
            <w:vAlign w:val="center"/>
          </w:tcPr>
          <w:p w:rsidR="000D0AE4" w:rsidRDefault="005358C6" w:rsidP="00F23BCB">
            <w:pPr>
              <w:jc w:val="center"/>
              <w:rPr>
                <w:sz w:val="16"/>
              </w:rPr>
            </w:pPr>
            <w:r>
              <w:rPr>
                <w:sz w:val="16"/>
              </w:rPr>
              <w:t>Summer 201</w:t>
            </w:r>
            <w:r w:rsidR="00F23BCB">
              <w:rPr>
                <w:sz w:val="16"/>
              </w:rPr>
              <w:t>5</w:t>
            </w:r>
          </w:p>
        </w:tc>
        <w:tc>
          <w:tcPr>
            <w:tcW w:w="2445" w:type="dxa"/>
            <w:tcBorders>
              <w:top w:val="single" w:sz="4" w:space="0" w:color="auto"/>
              <w:left w:val="single" w:sz="4" w:space="0" w:color="auto"/>
              <w:bottom w:val="single" w:sz="4" w:space="0" w:color="auto"/>
              <w:right w:val="single" w:sz="4" w:space="0" w:color="auto"/>
            </w:tcBorders>
            <w:vAlign w:val="center"/>
            <w:hideMark/>
          </w:tcPr>
          <w:p w:rsidR="000D0AE4" w:rsidRDefault="000D0AE4" w:rsidP="00F23BCB">
            <w:pPr>
              <w:jc w:val="center"/>
              <w:rPr>
                <w:sz w:val="16"/>
              </w:rPr>
            </w:pPr>
            <w:r>
              <w:rPr>
                <w:sz w:val="16"/>
              </w:rPr>
              <w:t>Summer 201</w:t>
            </w:r>
            <w:r w:rsidR="00F23BCB">
              <w:rPr>
                <w:sz w:val="16"/>
              </w:rPr>
              <w:t>7</w:t>
            </w:r>
          </w:p>
        </w:tc>
      </w:tr>
      <w:tr w:rsidR="000D0AE4" w:rsidTr="005358C6">
        <w:trPr>
          <w:cantSplit/>
        </w:trPr>
        <w:tc>
          <w:tcPr>
            <w:tcW w:w="2518" w:type="dxa"/>
            <w:tcBorders>
              <w:top w:val="single" w:sz="4" w:space="0" w:color="auto"/>
              <w:left w:val="single" w:sz="4" w:space="0" w:color="auto"/>
              <w:bottom w:val="single" w:sz="4" w:space="0" w:color="auto"/>
              <w:right w:val="single" w:sz="4" w:space="0" w:color="auto"/>
            </w:tcBorders>
            <w:hideMark/>
          </w:tcPr>
          <w:p w:rsidR="000D0AE4" w:rsidRDefault="000D0AE4">
            <w:pPr>
              <w:jc w:val="both"/>
            </w:pPr>
            <w:r>
              <w:t xml:space="preserve">Signed </w:t>
            </w:r>
          </w:p>
        </w:tc>
        <w:tc>
          <w:tcPr>
            <w:tcW w:w="2444" w:type="dxa"/>
            <w:tcBorders>
              <w:top w:val="single" w:sz="4" w:space="0" w:color="auto"/>
              <w:left w:val="single" w:sz="4" w:space="0" w:color="auto"/>
              <w:bottom w:val="single" w:sz="4" w:space="0" w:color="auto"/>
              <w:right w:val="single" w:sz="4" w:space="0" w:color="auto"/>
            </w:tcBorders>
          </w:tcPr>
          <w:p w:rsidR="000D0AE4" w:rsidRDefault="00F23BCB">
            <w:pPr>
              <w:jc w:val="both"/>
            </w:pPr>
            <w:r>
              <w:t>Jez Barnard</w:t>
            </w:r>
          </w:p>
        </w:tc>
        <w:tc>
          <w:tcPr>
            <w:tcW w:w="2445" w:type="dxa"/>
            <w:tcBorders>
              <w:top w:val="single" w:sz="4" w:space="0" w:color="auto"/>
              <w:left w:val="single" w:sz="4" w:space="0" w:color="auto"/>
              <w:bottom w:val="single" w:sz="4" w:space="0" w:color="auto"/>
              <w:right w:val="single" w:sz="4" w:space="0" w:color="auto"/>
            </w:tcBorders>
          </w:tcPr>
          <w:p w:rsidR="000D0AE4" w:rsidRDefault="005358C6">
            <w:pPr>
              <w:jc w:val="both"/>
            </w:pPr>
            <w:r>
              <w:t>Jez Barnard</w:t>
            </w:r>
          </w:p>
        </w:tc>
        <w:tc>
          <w:tcPr>
            <w:tcW w:w="2445" w:type="dxa"/>
            <w:tcBorders>
              <w:top w:val="single" w:sz="4" w:space="0" w:color="auto"/>
              <w:left w:val="single" w:sz="4" w:space="0" w:color="auto"/>
              <w:bottom w:val="single" w:sz="4" w:space="0" w:color="auto"/>
              <w:right w:val="single" w:sz="4" w:space="0" w:color="auto"/>
            </w:tcBorders>
            <w:hideMark/>
          </w:tcPr>
          <w:p w:rsidR="000D0AE4" w:rsidRDefault="00394CD3">
            <w:pPr>
              <w:jc w:val="both"/>
            </w:pPr>
            <w:r>
              <w:t>Jez Barnard</w:t>
            </w:r>
          </w:p>
        </w:tc>
      </w:tr>
      <w:tr w:rsidR="000D0AE4" w:rsidTr="005358C6">
        <w:trPr>
          <w:cantSplit/>
        </w:trPr>
        <w:tc>
          <w:tcPr>
            <w:tcW w:w="2518" w:type="dxa"/>
            <w:tcBorders>
              <w:top w:val="single" w:sz="4" w:space="0" w:color="auto"/>
              <w:left w:val="single" w:sz="4" w:space="0" w:color="auto"/>
              <w:bottom w:val="single" w:sz="4" w:space="0" w:color="auto"/>
              <w:right w:val="single" w:sz="4" w:space="0" w:color="auto"/>
            </w:tcBorders>
            <w:hideMark/>
          </w:tcPr>
          <w:p w:rsidR="000D0AE4" w:rsidRDefault="000D0AE4">
            <w:pPr>
              <w:pStyle w:val="Heading2"/>
            </w:pPr>
            <w:bookmarkStart w:id="0" w:name="_GoBack"/>
            <w:bookmarkEnd w:id="0"/>
          </w:p>
        </w:tc>
        <w:tc>
          <w:tcPr>
            <w:tcW w:w="2444" w:type="dxa"/>
            <w:tcBorders>
              <w:top w:val="single" w:sz="4" w:space="0" w:color="auto"/>
              <w:left w:val="single" w:sz="4" w:space="0" w:color="auto"/>
              <w:bottom w:val="single" w:sz="4" w:space="0" w:color="auto"/>
              <w:right w:val="single" w:sz="4" w:space="0" w:color="auto"/>
            </w:tcBorders>
          </w:tcPr>
          <w:p w:rsidR="000D0AE4" w:rsidRDefault="000D0AE4">
            <w:pPr>
              <w:jc w:val="both"/>
              <w:rPr>
                <w:sz w:val="16"/>
                <w:szCs w:val="16"/>
              </w:rPr>
            </w:pPr>
          </w:p>
        </w:tc>
        <w:tc>
          <w:tcPr>
            <w:tcW w:w="2445" w:type="dxa"/>
            <w:tcBorders>
              <w:top w:val="single" w:sz="4" w:space="0" w:color="auto"/>
              <w:left w:val="single" w:sz="4" w:space="0" w:color="auto"/>
              <w:bottom w:val="single" w:sz="4" w:space="0" w:color="auto"/>
              <w:right w:val="single" w:sz="4" w:space="0" w:color="auto"/>
            </w:tcBorders>
          </w:tcPr>
          <w:p w:rsidR="000D0AE4" w:rsidRDefault="000D0AE4">
            <w:pPr>
              <w:jc w:val="both"/>
            </w:pPr>
          </w:p>
        </w:tc>
        <w:tc>
          <w:tcPr>
            <w:tcW w:w="2445" w:type="dxa"/>
            <w:tcBorders>
              <w:top w:val="single" w:sz="4" w:space="0" w:color="auto"/>
              <w:left w:val="single" w:sz="4" w:space="0" w:color="auto"/>
              <w:bottom w:val="single" w:sz="4" w:space="0" w:color="auto"/>
              <w:right w:val="single" w:sz="4" w:space="0" w:color="auto"/>
            </w:tcBorders>
          </w:tcPr>
          <w:p w:rsidR="000D0AE4" w:rsidRDefault="000D0AE4">
            <w:pPr>
              <w:jc w:val="both"/>
            </w:pPr>
          </w:p>
        </w:tc>
      </w:tr>
      <w:tr w:rsidR="000D0AE4" w:rsidTr="000D0AE4">
        <w:trPr>
          <w:cantSplit/>
        </w:trPr>
        <w:tc>
          <w:tcPr>
            <w:tcW w:w="2518" w:type="dxa"/>
            <w:tcBorders>
              <w:top w:val="single" w:sz="4" w:space="0" w:color="auto"/>
              <w:left w:val="single" w:sz="4" w:space="0" w:color="auto"/>
              <w:bottom w:val="single" w:sz="4" w:space="0" w:color="auto"/>
              <w:right w:val="single" w:sz="4" w:space="0" w:color="auto"/>
            </w:tcBorders>
          </w:tcPr>
          <w:p w:rsidR="000D0AE4" w:rsidRDefault="000D0AE4">
            <w:pPr>
              <w:pStyle w:val="Heading2"/>
            </w:pPr>
          </w:p>
        </w:tc>
        <w:tc>
          <w:tcPr>
            <w:tcW w:w="2444" w:type="dxa"/>
            <w:tcBorders>
              <w:top w:val="single" w:sz="4" w:space="0" w:color="auto"/>
              <w:left w:val="single" w:sz="4" w:space="0" w:color="auto"/>
              <w:bottom w:val="single" w:sz="4" w:space="0" w:color="auto"/>
              <w:right w:val="single" w:sz="4" w:space="0" w:color="auto"/>
            </w:tcBorders>
          </w:tcPr>
          <w:p w:rsidR="000D0AE4" w:rsidRDefault="000D0AE4">
            <w:pPr>
              <w:jc w:val="both"/>
              <w:rPr>
                <w:sz w:val="16"/>
                <w:szCs w:val="16"/>
              </w:rPr>
            </w:pPr>
          </w:p>
        </w:tc>
        <w:tc>
          <w:tcPr>
            <w:tcW w:w="2445" w:type="dxa"/>
            <w:tcBorders>
              <w:top w:val="single" w:sz="4" w:space="0" w:color="auto"/>
              <w:left w:val="single" w:sz="4" w:space="0" w:color="auto"/>
              <w:bottom w:val="single" w:sz="4" w:space="0" w:color="auto"/>
              <w:right w:val="single" w:sz="4" w:space="0" w:color="auto"/>
            </w:tcBorders>
          </w:tcPr>
          <w:p w:rsidR="000D0AE4" w:rsidRDefault="000D0AE4">
            <w:pPr>
              <w:jc w:val="both"/>
            </w:pPr>
          </w:p>
        </w:tc>
        <w:tc>
          <w:tcPr>
            <w:tcW w:w="2445" w:type="dxa"/>
            <w:tcBorders>
              <w:top w:val="single" w:sz="4" w:space="0" w:color="auto"/>
              <w:left w:val="single" w:sz="4" w:space="0" w:color="auto"/>
              <w:bottom w:val="single" w:sz="4" w:space="0" w:color="auto"/>
              <w:right w:val="single" w:sz="4" w:space="0" w:color="auto"/>
            </w:tcBorders>
          </w:tcPr>
          <w:p w:rsidR="000D0AE4" w:rsidRDefault="000D0AE4">
            <w:pPr>
              <w:jc w:val="both"/>
            </w:pPr>
          </w:p>
        </w:tc>
      </w:tr>
    </w:tbl>
    <w:p w:rsidR="000D0AE4" w:rsidRDefault="000D0AE4" w:rsidP="000D0AE4">
      <w:pPr>
        <w:widowControl w:val="0"/>
        <w:autoSpaceDE w:val="0"/>
        <w:autoSpaceDN w:val="0"/>
        <w:adjustRightInd w:val="0"/>
        <w:rPr>
          <w:rFonts w:ascii="Comic Sans MS" w:hAnsi="Comic Sans MS" w:cs="Arial"/>
          <w:b/>
          <w:sz w:val="20"/>
          <w:szCs w:val="20"/>
          <w:u w:val="single"/>
          <w:lang w:eastAsia="en-US"/>
        </w:rPr>
      </w:pPr>
    </w:p>
    <w:p w:rsidR="000D0AE4" w:rsidRDefault="000D0AE4" w:rsidP="000D0AE4">
      <w:pPr>
        <w:widowControl w:val="0"/>
        <w:autoSpaceDE w:val="0"/>
        <w:autoSpaceDN w:val="0"/>
        <w:adjustRightInd w:val="0"/>
        <w:rPr>
          <w:rFonts w:ascii="Comic Sans MS" w:hAnsi="Comic Sans MS" w:cs="Arial"/>
          <w:b/>
          <w:sz w:val="20"/>
          <w:szCs w:val="20"/>
          <w:u w:val="single"/>
        </w:rPr>
      </w:pPr>
      <w:r>
        <w:rPr>
          <w:rFonts w:ascii="Comic Sans MS" w:hAnsi="Comic Sans MS" w:cs="Arial"/>
          <w:b/>
          <w:sz w:val="20"/>
          <w:szCs w:val="20"/>
          <w:u w:val="single"/>
        </w:rPr>
        <w:t xml:space="preserve">Document History </w:t>
      </w:r>
    </w:p>
    <w:p w:rsidR="000D0AE4" w:rsidRDefault="000D0AE4" w:rsidP="000D0AE4">
      <w:pPr>
        <w:widowControl w:val="0"/>
        <w:autoSpaceDE w:val="0"/>
        <w:autoSpaceDN w:val="0"/>
        <w:adjustRightInd w:val="0"/>
        <w:rPr>
          <w:rFonts w:ascii="Comic Sans MS" w:hAnsi="Comic Sans MS" w:cs="Arial"/>
          <w:b/>
          <w:sz w:val="20"/>
          <w:szCs w:val="20"/>
        </w:rPr>
      </w:pPr>
    </w:p>
    <w:p w:rsidR="000D0AE4" w:rsidRDefault="000D0AE4" w:rsidP="000D0AE4">
      <w:pPr>
        <w:widowControl w:val="0"/>
        <w:autoSpaceDE w:val="0"/>
        <w:autoSpaceDN w:val="0"/>
        <w:adjustRightInd w:val="0"/>
        <w:rPr>
          <w:rFonts w:ascii="Comic Sans MS" w:hAnsi="Comic Sans MS" w:cs="Arial"/>
          <w:b/>
          <w:sz w:val="20"/>
          <w:szCs w:val="20"/>
        </w:rPr>
      </w:pPr>
      <w:r>
        <w:rPr>
          <w:rFonts w:ascii="Comic Sans MS" w:hAnsi="Comic Sans MS" w:cs="Arial"/>
          <w:b/>
          <w:sz w:val="20"/>
          <w:szCs w:val="20"/>
        </w:rPr>
        <w:t>Policy created: 2010</w:t>
      </w:r>
    </w:p>
    <w:p w:rsidR="000D0AE4" w:rsidRDefault="000D0AE4" w:rsidP="000D0AE4">
      <w:pPr>
        <w:widowControl w:val="0"/>
        <w:autoSpaceDE w:val="0"/>
        <w:autoSpaceDN w:val="0"/>
        <w:adjustRightInd w:val="0"/>
        <w:rPr>
          <w:rFonts w:ascii="Comic Sans MS" w:hAnsi="Comic Sans MS" w:cs="Arial"/>
          <w:b/>
          <w:sz w:val="20"/>
          <w:szCs w:val="20"/>
        </w:rPr>
      </w:pPr>
      <w:r>
        <w:rPr>
          <w:rFonts w:ascii="Comic Sans MS" w:hAnsi="Comic Sans MS" w:cs="Arial"/>
          <w:b/>
          <w:sz w:val="20"/>
          <w:szCs w:val="20"/>
        </w:rPr>
        <w:t>Policy reviewed: 2011, 2013</w:t>
      </w:r>
      <w:r w:rsidR="00333007">
        <w:rPr>
          <w:rFonts w:ascii="Comic Sans MS" w:hAnsi="Comic Sans MS" w:cs="Arial"/>
          <w:b/>
          <w:sz w:val="20"/>
          <w:szCs w:val="20"/>
        </w:rPr>
        <w:t>, 2015</w:t>
      </w:r>
      <w:r w:rsidR="00F23BCB">
        <w:rPr>
          <w:rFonts w:ascii="Comic Sans MS" w:hAnsi="Comic Sans MS" w:cs="Arial"/>
          <w:b/>
          <w:sz w:val="20"/>
          <w:szCs w:val="20"/>
        </w:rPr>
        <w:t xml:space="preserve">, </w:t>
      </w:r>
      <w:proofErr w:type="gramStart"/>
      <w:r w:rsidR="00F23BCB">
        <w:rPr>
          <w:rFonts w:ascii="Comic Sans MS" w:hAnsi="Comic Sans MS" w:cs="Arial"/>
          <w:b/>
          <w:sz w:val="20"/>
          <w:szCs w:val="20"/>
        </w:rPr>
        <w:t>2017</w:t>
      </w:r>
      <w:proofErr w:type="gramEnd"/>
    </w:p>
    <w:p w:rsidR="000D0AE4" w:rsidRDefault="000D0AE4" w:rsidP="000D0AE4">
      <w:pPr>
        <w:widowControl w:val="0"/>
        <w:autoSpaceDE w:val="0"/>
        <w:autoSpaceDN w:val="0"/>
        <w:adjustRightInd w:val="0"/>
        <w:rPr>
          <w:rFonts w:ascii="Comic Sans MS" w:hAnsi="Comic Sans MS" w:cs="Arial"/>
          <w:b/>
          <w:sz w:val="20"/>
          <w:szCs w:val="20"/>
        </w:rPr>
      </w:pPr>
      <w:r>
        <w:rPr>
          <w:rFonts w:ascii="Comic Sans MS" w:hAnsi="Comic Sans MS" w:cs="Arial"/>
          <w:b/>
          <w:sz w:val="20"/>
          <w:szCs w:val="20"/>
        </w:rPr>
        <w:t>Date of next review 201</w:t>
      </w:r>
      <w:r w:rsidR="00F23BCB">
        <w:rPr>
          <w:rFonts w:ascii="Comic Sans MS" w:hAnsi="Comic Sans MS" w:cs="Arial"/>
          <w:b/>
          <w:sz w:val="20"/>
          <w:szCs w:val="20"/>
        </w:rPr>
        <w:t>9</w:t>
      </w:r>
    </w:p>
    <w:p w:rsidR="000D0AE4" w:rsidRDefault="000D0AE4" w:rsidP="002F4678">
      <w:pPr>
        <w:jc w:val="both"/>
        <w:rPr>
          <w:rFonts w:cs="Arial"/>
          <w:b/>
        </w:rPr>
      </w:pPr>
    </w:p>
    <w:p w:rsidR="002A4682" w:rsidRDefault="002A4682" w:rsidP="002F4678">
      <w:pPr>
        <w:jc w:val="both"/>
        <w:rPr>
          <w:rFonts w:cs="Arial"/>
          <w:b/>
        </w:rPr>
      </w:pPr>
    </w:p>
    <w:p w:rsidR="002F4678" w:rsidRDefault="002F4678" w:rsidP="002F4678">
      <w:pPr>
        <w:jc w:val="both"/>
        <w:rPr>
          <w:rFonts w:cs="Arial"/>
          <w:b/>
        </w:rPr>
      </w:pPr>
      <w:r>
        <w:rPr>
          <w:rFonts w:cs="Arial"/>
          <w:b/>
        </w:rPr>
        <w:t>Introduction</w:t>
      </w:r>
    </w:p>
    <w:p w:rsidR="002F4678" w:rsidRDefault="002F4678" w:rsidP="002F4678">
      <w:pPr>
        <w:jc w:val="both"/>
        <w:rPr>
          <w:rFonts w:cs="Arial"/>
        </w:rPr>
      </w:pPr>
      <w:r>
        <w:rPr>
          <w:rFonts w:cs="Arial"/>
        </w:rPr>
        <w:t>The School Governance (Roles, Procedures and Allowances) (England) Regulations 2013 apply to all maintained schools and came into force on 1 September 2013.  The regulations make provision for allowances to be paid to governors or associate members for out-of-pocket expenses incurred in the context of carrying out their duties.</w:t>
      </w:r>
    </w:p>
    <w:p w:rsidR="002F4678" w:rsidRDefault="002F4678" w:rsidP="002F4678">
      <w:pPr>
        <w:jc w:val="both"/>
        <w:rPr>
          <w:rFonts w:cs="Arial"/>
        </w:rPr>
      </w:pPr>
    </w:p>
    <w:p w:rsidR="002F4678" w:rsidRDefault="002F4678" w:rsidP="002F4678">
      <w:pPr>
        <w:jc w:val="both"/>
        <w:rPr>
          <w:rFonts w:cs="Arial"/>
        </w:rPr>
      </w:pPr>
      <w:r>
        <w:rPr>
          <w:rFonts w:cs="Arial"/>
        </w:rPr>
        <w:t xml:space="preserve">Any claim for expenses has to be met from the school’s delegated budget.  </w:t>
      </w:r>
    </w:p>
    <w:p w:rsidR="002F4678" w:rsidRDefault="002F4678" w:rsidP="002F4678">
      <w:pPr>
        <w:jc w:val="both"/>
        <w:rPr>
          <w:rFonts w:cs="Arial"/>
        </w:rPr>
      </w:pPr>
    </w:p>
    <w:p w:rsidR="002F4678" w:rsidRDefault="002F4678" w:rsidP="002F4678">
      <w:pPr>
        <w:jc w:val="both"/>
        <w:rPr>
          <w:rFonts w:cs="Arial"/>
          <w:b/>
        </w:rPr>
      </w:pPr>
      <w:r>
        <w:rPr>
          <w:rFonts w:cs="Arial"/>
          <w:b/>
        </w:rPr>
        <w:t>Paying Allowances</w:t>
      </w:r>
    </w:p>
    <w:p w:rsidR="002F4678" w:rsidRDefault="002F4678" w:rsidP="002F4678">
      <w:pPr>
        <w:jc w:val="both"/>
        <w:rPr>
          <w:rFonts w:cs="Arial"/>
          <w:b/>
        </w:rPr>
      </w:pPr>
    </w:p>
    <w:p w:rsidR="002F4678" w:rsidRDefault="002F4678" w:rsidP="002F4678">
      <w:pPr>
        <w:jc w:val="both"/>
        <w:rPr>
          <w:rFonts w:cs="Arial"/>
        </w:rPr>
      </w:pPr>
      <w:r>
        <w:rPr>
          <w:rFonts w:cs="Arial"/>
        </w:rPr>
        <w:t xml:space="preserve">Examples of when a claim may be made for incurred expenses are given below, but it is for each governing body to take account of its individual needs and determine the basis on which a claim can be made and the criteria to be followed. Governing bodies may, for example, wish to consider the inclusion of other criteria such as reimbursement for the provision of equipment and/or support for governors with special needs or where an individual’s first language is not English.  </w:t>
      </w:r>
    </w:p>
    <w:p w:rsidR="002F4678" w:rsidRDefault="002F4678" w:rsidP="002F4678">
      <w:pPr>
        <w:jc w:val="both"/>
        <w:rPr>
          <w:rFonts w:cs="Arial"/>
        </w:rPr>
      </w:pPr>
    </w:p>
    <w:p w:rsidR="002F4678" w:rsidRDefault="002F4678" w:rsidP="002F4678">
      <w:pPr>
        <w:jc w:val="both"/>
        <w:rPr>
          <w:rFonts w:cs="Arial"/>
          <w:b/>
        </w:rPr>
      </w:pPr>
      <w:r>
        <w:rPr>
          <w:rFonts w:cs="Arial"/>
          <w:b/>
        </w:rPr>
        <w:t xml:space="preserve">Child care or babysitting </w:t>
      </w:r>
    </w:p>
    <w:p w:rsidR="002F4678" w:rsidRDefault="002F4678" w:rsidP="002F4678">
      <w:pPr>
        <w:jc w:val="both"/>
        <w:rPr>
          <w:rFonts w:cs="Arial"/>
          <w:b/>
        </w:rPr>
      </w:pPr>
    </w:p>
    <w:p w:rsidR="002F4678" w:rsidRDefault="002F4678" w:rsidP="002F4678">
      <w:pPr>
        <w:jc w:val="both"/>
        <w:rPr>
          <w:rFonts w:cs="Arial"/>
        </w:rPr>
      </w:pPr>
      <w:r>
        <w:rPr>
          <w:rFonts w:cs="Arial"/>
        </w:rPr>
        <w:t xml:space="preserve">Claims for the actual cost of reimbursement to a registered child-minder or babysitter may be made while the governor is attending meetings of the governing body or its committees or other agreed activities, such as training events.  Appropriate proof of payment should be submitted. This excludes situations where the individual has a spouse, partner or other responsible adult who normally lives in the family home to care for his/her </w:t>
      </w:r>
      <w:proofErr w:type="gramStart"/>
      <w:r>
        <w:rPr>
          <w:rFonts w:cs="Arial"/>
        </w:rPr>
        <w:t>child(</w:t>
      </w:r>
      <w:proofErr w:type="spellStart"/>
      <w:proofErr w:type="gramEnd"/>
      <w:r>
        <w:rPr>
          <w:rFonts w:cs="Arial"/>
        </w:rPr>
        <w:t>ren</w:t>
      </w:r>
      <w:proofErr w:type="spellEnd"/>
      <w:r>
        <w:rPr>
          <w:rFonts w:cs="Arial"/>
        </w:rPr>
        <w:t>).</w:t>
      </w:r>
    </w:p>
    <w:p w:rsidR="002F4678" w:rsidRDefault="002F4678" w:rsidP="002F4678">
      <w:pPr>
        <w:jc w:val="both"/>
        <w:rPr>
          <w:rFonts w:cs="Arial"/>
        </w:rPr>
      </w:pPr>
    </w:p>
    <w:p w:rsidR="002F4678" w:rsidRDefault="002F4678" w:rsidP="002F4678">
      <w:pPr>
        <w:jc w:val="both"/>
        <w:rPr>
          <w:rFonts w:cs="Arial"/>
          <w:b/>
        </w:rPr>
      </w:pPr>
      <w:r>
        <w:rPr>
          <w:rFonts w:cs="Arial"/>
          <w:b/>
        </w:rPr>
        <w:t>Care arrangements for an elderly or dependent relative</w:t>
      </w:r>
    </w:p>
    <w:p w:rsidR="002F4678" w:rsidRDefault="002F4678" w:rsidP="002F4678">
      <w:pPr>
        <w:jc w:val="both"/>
        <w:rPr>
          <w:rFonts w:cs="Arial"/>
          <w:b/>
        </w:rPr>
      </w:pPr>
    </w:p>
    <w:p w:rsidR="002F4678" w:rsidRDefault="002F4678" w:rsidP="002F4678">
      <w:pPr>
        <w:jc w:val="both"/>
        <w:rPr>
          <w:rFonts w:cs="Arial"/>
        </w:rPr>
      </w:pPr>
      <w:r>
        <w:rPr>
          <w:rFonts w:cs="Arial"/>
        </w:rPr>
        <w:t xml:space="preserve">Costs may be claimed for situations similar to those for child care.  </w:t>
      </w:r>
    </w:p>
    <w:p w:rsidR="002F4678" w:rsidRDefault="002F4678" w:rsidP="002F4678">
      <w:pPr>
        <w:jc w:val="both"/>
        <w:rPr>
          <w:rFonts w:cs="Arial"/>
          <w:b/>
        </w:rPr>
      </w:pPr>
    </w:p>
    <w:p w:rsidR="002F4678" w:rsidRDefault="002F4678" w:rsidP="002F4678">
      <w:pPr>
        <w:jc w:val="both"/>
        <w:rPr>
          <w:rFonts w:cs="Arial"/>
          <w:b/>
        </w:rPr>
      </w:pPr>
      <w:r>
        <w:rPr>
          <w:rFonts w:cs="Arial"/>
          <w:b/>
        </w:rPr>
        <w:t xml:space="preserve">Telephone charges, photocopying, stationery, </w:t>
      </w:r>
      <w:proofErr w:type="spellStart"/>
      <w:r>
        <w:rPr>
          <w:rFonts w:cs="Arial"/>
          <w:b/>
        </w:rPr>
        <w:t>etc</w:t>
      </w:r>
      <w:proofErr w:type="spellEnd"/>
    </w:p>
    <w:p w:rsidR="002F4678" w:rsidRDefault="002F4678" w:rsidP="002F4678">
      <w:pPr>
        <w:jc w:val="both"/>
        <w:rPr>
          <w:rFonts w:cs="Arial"/>
          <w:b/>
        </w:rPr>
      </w:pPr>
    </w:p>
    <w:p w:rsidR="002F4678" w:rsidRDefault="002F4678" w:rsidP="002F4678">
      <w:pPr>
        <w:jc w:val="both"/>
        <w:rPr>
          <w:rFonts w:cs="Arial"/>
        </w:rPr>
      </w:pPr>
      <w:r>
        <w:rPr>
          <w:rFonts w:cs="Arial"/>
        </w:rPr>
        <w:t xml:space="preserve">Where a governor is unable to use the school’s facilities for any of the above a claim for reimbursement may be made.  Receipts must be kept where appropriate; in all other cases a detailed written record should be made and submitted.  </w:t>
      </w:r>
    </w:p>
    <w:p w:rsidR="002F4678" w:rsidRDefault="002F4678" w:rsidP="002F4678">
      <w:pPr>
        <w:jc w:val="both"/>
        <w:rPr>
          <w:rFonts w:cs="Arial"/>
        </w:rPr>
      </w:pPr>
    </w:p>
    <w:p w:rsidR="002F4678" w:rsidRDefault="002F4678" w:rsidP="002F4678">
      <w:pPr>
        <w:jc w:val="both"/>
        <w:rPr>
          <w:rFonts w:cs="Arial"/>
          <w:b/>
        </w:rPr>
      </w:pPr>
      <w:r>
        <w:rPr>
          <w:rFonts w:cs="Arial"/>
          <w:b/>
        </w:rPr>
        <w:t>Travel and subsistence</w:t>
      </w:r>
    </w:p>
    <w:p w:rsidR="002F4678" w:rsidRDefault="002F4678" w:rsidP="002F4678">
      <w:pPr>
        <w:jc w:val="both"/>
        <w:rPr>
          <w:rFonts w:cs="Arial"/>
          <w:b/>
        </w:rPr>
      </w:pPr>
    </w:p>
    <w:p w:rsidR="002F4678" w:rsidRDefault="002F4678" w:rsidP="002F4678">
      <w:pPr>
        <w:jc w:val="both"/>
        <w:rPr>
          <w:rFonts w:cs="Arial"/>
        </w:rPr>
      </w:pPr>
      <w:r>
        <w:rPr>
          <w:rFonts w:cs="Arial"/>
        </w:rPr>
        <w:t>Mileage may be claimed for distances exceeding 10 miles for the purpose of attendance at meetings of the governing body or its committees or other agreed activities.  Claims will be reimbursed at the rate of …45p per mile (this must not exceed the maximum level of the rates published by the Inland Revenue for travel and subsistence).</w:t>
      </w:r>
    </w:p>
    <w:p w:rsidR="002F4678" w:rsidRDefault="002F4678" w:rsidP="002F4678">
      <w:pPr>
        <w:jc w:val="both"/>
        <w:rPr>
          <w:rFonts w:cs="Arial"/>
        </w:rPr>
      </w:pPr>
    </w:p>
    <w:p w:rsidR="002F4678" w:rsidRDefault="002F4678" w:rsidP="002F4678">
      <w:pPr>
        <w:jc w:val="both"/>
        <w:rPr>
          <w:rFonts w:cs="Arial"/>
        </w:rPr>
      </w:pPr>
      <w:r>
        <w:rPr>
          <w:rFonts w:cs="Arial"/>
        </w:rPr>
        <w:t>Where public transport is used, the actual cost of the expenditure will be reimbursed, up to standard class rail travel.  Where it is not possible to use public transport the actual cost of a taxi fare will be reimbursed.  Receipts will be required.</w:t>
      </w:r>
    </w:p>
    <w:p w:rsidR="002F4678" w:rsidRDefault="002F4678" w:rsidP="002F4678">
      <w:pPr>
        <w:jc w:val="both"/>
        <w:rPr>
          <w:rFonts w:cs="Arial"/>
        </w:rPr>
      </w:pPr>
    </w:p>
    <w:p w:rsidR="002F4678" w:rsidRDefault="002F4678" w:rsidP="002F4678">
      <w:pPr>
        <w:jc w:val="both"/>
        <w:rPr>
          <w:rFonts w:cs="Arial"/>
        </w:rPr>
      </w:pPr>
      <w:r>
        <w:rPr>
          <w:rFonts w:cs="Arial"/>
        </w:rPr>
        <w:t xml:space="preserve">Claims for subsistence allowances, </w:t>
      </w:r>
      <w:proofErr w:type="spellStart"/>
      <w:r>
        <w:rPr>
          <w:rFonts w:cs="Arial"/>
        </w:rPr>
        <w:t>ie</w:t>
      </w:r>
      <w:proofErr w:type="spellEnd"/>
      <w:r>
        <w:rPr>
          <w:rFonts w:cs="Arial"/>
        </w:rPr>
        <w:t xml:space="preserve"> for meals that would not otherwise have been purchased or car parking charges that would not otherwise have been incurred, will be reimbursed upon the production of a receipt up to a maximum amount of £5.</w:t>
      </w:r>
    </w:p>
    <w:p w:rsidR="002F4678" w:rsidRDefault="002F4678" w:rsidP="002F4678">
      <w:pPr>
        <w:jc w:val="both"/>
        <w:rPr>
          <w:rFonts w:cs="Arial"/>
        </w:rPr>
      </w:pPr>
    </w:p>
    <w:p w:rsidR="002F4678" w:rsidRDefault="002F4678" w:rsidP="002F4678">
      <w:pPr>
        <w:jc w:val="both"/>
        <w:rPr>
          <w:rFonts w:cs="Arial"/>
          <w:b/>
        </w:rPr>
      </w:pPr>
      <w:r>
        <w:rPr>
          <w:rFonts w:cs="Arial"/>
          <w:b/>
        </w:rPr>
        <w:t>Making a claim</w:t>
      </w:r>
    </w:p>
    <w:p w:rsidR="002F4678" w:rsidRDefault="002F4678" w:rsidP="002F4678">
      <w:pPr>
        <w:jc w:val="both"/>
        <w:rPr>
          <w:rFonts w:cs="Arial"/>
          <w:b/>
        </w:rPr>
      </w:pPr>
    </w:p>
    <w:p w:rsidR="002F4678" w:rsidRDefault="002F4678" w:rsidP="002F4678">
      <w:pPr>
        <w:jc w:val="both"/>
        <w:rPr>
          <w:rFonts w:cs="Arial"/>
        </w:rPr>
      </w:pPr>
      <w:r>
        <w:rPr>
          <w:rFonts w:cs="Arial"/>
        </w:rPr>
        <w:t xml:space="preserve">Governors should claim in arrears on a termly basis unless the amount to be claimed is substantial.  </w:t>
      </w:r>
    </w:p>
    <w:p w:rsidR="002F4678" w:rsidRDefault="002F4678" w:rsidP="002F4678">
      <w:pPr>
        <w:jc w:val="both"/>
        <w:rPr>
          <w:rFonts w:cs="Arial"/>
        </w:rPr>
      </w:pPr>
      <w:r>
        <w:rPr>
          <w:rFonts w:cs="Arial"/>
        </w:rPr>
        <w:t xml:space="preserve">Claims should be authorised by (the Chair of </w:t>
      </w:r>
      <w:r w:rsidR="002A4682">
        <w:rPr>
          <w:rFonts w:cs="Arial"/>
        </w:rPr>
        <w:t>Com</w:t>
      </w:r>
      <w:r>
        <w:rPr>
          <w:rFonts w:cs="Arial"/>
        </w:rPr>
        <w:t>mittee</w:t>
      </w:r>
      <w:r w:rsidR="002A4682">
        <w:rPr>
          <w:rFonts w:cs="Arial"/>
        </w:rPr>
        <w:t xml:space="preserve"> or </w:t>
      </w:r>
      <w:r>
        <w:rPr>
          <w:rFonts w:cs="Arial"/>
        </w:rPr>
        <w:t>Chair of governors) and submitted to (</w:t>
      </w:r>
      <w:r w:rsidR="002A4682">
        <w:rPr>
          <w:rFonts w:cs="Arial"/>
        </w:rPr>
        <w:t>S</w:t>
      </w:r>
      <w:r>
        <w:rPr>
          <w:rFonts w:cs="Arial"/>
        </w:rPr>
        <w:t>chool</w:t>
      </w:r>
      <w:r w:rsidR="002A4682">
        <w:rPr>
          <w:rFonts w:cs="Arial"/>
        </w:rPr>
        <w:t xml:space="preserve"> Business Manager</w:t>
      </w:r>
      <w:r>
        <w:rPr>
          <w:rFonts w:cs="Arial"/>
        </w:rPr>
        <w:t>) for payment.</w:t>
      </w:r>
    </w:p>
    <w:p w:rsidR="00A64E4F" w:rsidRPr="002F4678" w:rsidRDefault="002F4678" w:rsidP="002A4682">
      <w:pPr>
        <w:jc w:val="both"/>
      </w:pPr>
      <w:r>
        <w:rPr>
          <w:rFonts w:cs="Arial"/>
        </w:rPr>
        <w:t>The policy and amounts payable will be reviewed on an annual basis.</w:t>
      </w:r>
      <w:r w:rsidR="00F23BCB">
        <w:rPr>
          <w:rFonts w:cs="Arial"/>
        </w:rPr>
        <w:t xml:space="preserve"> </w:t>
      </w:r>
      <w:r>
        <w:rPr>
          <w:rFonts w:cs="Arial"/>
          <w:b/>
        </w:rPr>
        <w:t>This policy applies equally to all categories of governor, including associate members.</w:t>
      </w:r>
    </w:p>
    <w:sectPr w:rsidR="00A64E4F" w:rsidRPr="002F4678" w:rsidSect="00C6169A">
      <w:pgSz w:w="11906" w:h="16838" w:code="9"/>
      <w:pgMar w:top="0" w:right="567" w:bottom="851" w:left="567" w:header="709" w:footer="284" w:gutter="0"/>
      <w:cols w:sep="1"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69A"/>
    <w:rsid w:val="000D0AE4"/>
    <w:rsid w:val="002A4682"/>
    <w:rsid w:val="002F4678"/>
    <w:rsid w:val="00333007"/>
    <w:rsid w:val="00394CD3"/>
    <w:rsid w:val="005358C6"/>
    <w:rsid w:val="00A64E4F"/>
    <w:rsid w:val="00C6169A"/>
    <w:rsid w:val="00F23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CE2951-496F-4A9D-A276-34AED889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9A"/>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0D0AE4"/>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C6169A"/>
    <w:pPr>
      <w:keepLines/>
      <w:spacing w:after="300" w:line="240" w:lineRule="atLeast"/>
    </w:pPr>
    <w:rPr>
      <w:lang w:val="en-US" w:eastAsia="en-US"/>
    </w:rPr>
  </w:style>
  <w:style w:type="character" w:styleId="Emphasis">
    <w:name w:val="Emphasis"/>
    <w:basedOn w:val="DefaultParagraphFont"/>
    <w:qFormat/>
    <w:rsid w:val="00C6169A"/>
    <w:rPr>
      <w:i/>
      <w:iCs/>
    </w:rPr>
  </w:style>
  <w:style w:type="character" w:customStyle="1" w:styleId="Heading2Char">
    <w:name w:val="Heading 2 Char"/>
    <w:basedOn w:val="DefaultParagraphFont"/>
    <w:link w:val="Heading2"/>
    <w:semiHidden/>
    <w:rsid w:val="000D0AE4"/>
    <w:rPr>
      <w:rFonts w:ascii="Arial" w:eastAsia="Times New Roman" w:hAnsi="Arial"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48933">
      <w:bodyDiv w:val="1"/>
      <w:marLeft w:val="0"/>
      <w:marRight w:val="0"/>
      <w:marTop w:val="0"/>
      <w:marBottom w:val="0"/>
      <w:divBdr>
        <w:top w:val="none" w:sz="0" w:space="0" w:color="auto"/>
        <w:left w:val="none" w:sz="0" w:space="0" w:color="auto"/>
        <w:bottom w:val="none" w:sz="0" w:space="0" w:color="auto"/>
        <w:right w:val="none" w:sz="0" w:space="0" w:color="auto"/>
      </w:divBdr>
    </w:div>
    <w:div w:id="8126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mail.embc.org.uk/Xae289b929dc999cc9c99a0972d28/attach/Main/1/2/1118049817/John%20Clifford%20Logo%202005%20Small.jpg"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704F0B6A1DB4A9F73F4CFF6C6D34D" ma:contentTypeVersion="13" ma:contentTypeDescription="Create a new document." ma:contentTypeScope="" ma:versionID="c20c4c7df7cf19579275fc6750d210c5">
  <xsd:schema xmlns:xsd="http://www.w3.org/2001/XMLSchema" xmlns:xs="http://www.w3.org/2001/XMLSchema" xmlns:p="http://schemas.microsoft.com/office/2006/metadata/properties" xmlns:ns2="d2181671-f705-4360-8ae2-d1a69d0d2f45" xmlns:ns3="18c9b6c3-3906-4feb-828d-0167a8e88f33" targetNamespace="http://schemas.microsoft.com/office/2006/metadata/properties" ma:root="true" ma:fieldsID="8e20c0ae5d2e7c8fbed919b36d5dbb60" ns2:_="" ns3:_="">
    <xsd:import namespace="d2181671-f705-4360-8ae2-d1a69d0d2f45"/>
    <xsd:import namespace="18c9b6c3-3906-4feb-828d-0167a8e88f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81671-f705-4360-8ae2-d1a69d0d2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9b6c3-3906-4feb-828d-0167a8e88f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063BB-F515-4D1A-8AF3-8B9737B51B88}"/>
</file>

<file path=customXml/itemProps2.xml><?xml version="1.0" encoding="utf-8"?>
<ds:datastoreItem xmlns:ds="http://schemas.openxmlformats.org/officeDocument/2006/customXml" ds:itemID="{55713A51-9E26-405C-A961-80E647FB4F6A}"/>
</file>

<file path=customXml/itemProps3.xml><?xml version="1.0" encoding="utf-8"?>
<ds:datastoreItem xmlns:ds="http://schemas.openxmlformats.org/officeDocument/2006/customXml" ds:itemID="{5DCCB904-D42F-41B0-82A1-0F97A8AC5BD7}"/>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Taylor</dc:creator>
  <cp:keywords/>
  <dc:description/>
  <cp:lastModifiedBy>Karen Taylor</cp:lastModifiedBy>
  <cp:revision>2</cp:revision>
  <dcterms:created xsi:type="dcterms:W3CDTF">2017-07-11T09:38:00Z</dcterms:created>
  <dcterms:modified xsi:type="dcterms:W3CDTF">2017-07-11T09:38:00Z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0x010100CC8704F0B6A1DB4A9F73F4CFF6C6D34D</vt:lpwstr>
  </property>
</Properties>
</file>